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AFB" w:rsidRPr="00D4379E" w:rsidRDefault="00F5768D" w:rsidP="00F5768D">
      <w:pPr>
        <w:spacing w:line="240" w:lineRule="auto"/>
        <w:ind w:left="-284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F5768D">
        <w:rPr>
          <w:rFonts w:ascii="Times New Roman" w:hAnsi="Times New Roman" w:cs="Times New Roman"/>
          <w:b/>
          <w:color w:val="000000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-1242060</wp:posOffset>
            </wp:positionH>
            <wp:positionV relativeFrom="paragraph">
              <wp:posOffset>-872490</wp:posOffset>
            </wp:positionV>
            <wp:extent cx="7734300" cy="10953750"/>
            <wp:effectExtent l="19050" t="0" r="0" b="0"/>
            <wp:wrapNone/>
            <wp:docPr id="15" name="Рисунок 15" descr="Фоны для ворда детские - 33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Фоны для ворда детские - 33 фот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1095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2AFB" w:rsidRPr="00D4379E">
        <w:rPr>
          <w:rFonts w:ascii="Times New Roman" w:hAnsi="Times New Roman" w:cs="Times New Roman"/>
          <w:b/>
          <w:color w:val="000000"/>
          <w:sz w:val="32"/>
          <w:szCs w:val="32"/>
        </w:rPr>
        <w:t>«Роль татарских народных игр в обучении татарскому языку русскоязычных детей»</w:t>
      </w:r>
    </w:p>
    <w:p w:rsidR="00BC2AFB" w:rsidRDefault="00BC2AFB" w:rsidP="00F5768D">
      <w:pPr>
        <w:spacing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(консультация для родителей)</w:t>
      </w:r>
    </w:p>
    <w:p w:rsidR="008817E3" w:rsidRPr="00BC2AFB" w:rsidRDefault="00BC2AFB" w:rsidP="00F5768D">
      <w:pPr>
        <w:spacing w:line="240" w:lineRule="auto"/>
        <w:ind w:left="-284"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Мир детства невозможно представить себе без игры, которая является, по определению психологов, ведущей формой деятельности ребёнка. Игра развивает физически, интеллектуально и, конечно, эстетически.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Детская народная культура, в том числе культура детской игры, возникла и развивалась в лоне культуры взрослой. С одной стороны детский быт и фольклор всегда были связаны с бытом и фольклором взрослых, так как дети являлись полноправными участниками жизни семьи, рода, села.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другой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– дети по традиции наследовали и удерживали в своей культуре то, что уходило из обихода взрослых в силу изменившегося строя и обстоятельств, но оставалось практически, эстетически, нравственно притягательным для младшего поколения.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Анализ формы и содержания народных игр показывает диалектику тесной взаимосвязи её национальной и интернациональной сторон.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Каждый народ богат своими играми. Они имеют многотысячелетнюю историю и сохранились до наших времён, передавались из поколения в поколение, вбирая в себя национальные традиции.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Играя в народные игры, у детей, формируется устойчивое, заинтересованное, уважительное отношение к культуре родной страны, создаётся эмоционально положительная основа для развития патриотических чувств: любви к Родине.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На основе народных игр мы знакомим с особенностями жизни своей республики, своего народа.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История татарских народных игр органически связана с историей народа, его трудовой деятельностью, бытом, обычаями, традициями, верованиями. Татарские народные игры составляют важную неотъемлемую часть национальной культуры татарского народа, являются древнейшим средством физического, трудового, нравственного и эстетического воспитания подрастающего поколения.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Татарские народные игры отличаются соревновательным, коллективным характером действий, высокой эмоциональностью, вариативностью отдельных из них.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По содержанию татарские народные игры классически лаконичны, выразительны и доступны ребёнку. Они вызывают активную работу мысли, способствуют расширению кругозора, уточнению представлений об окружающем мире, совершенствованию всех психологических процессов, стимулируют переход детского организма к более высокой ступени развития. Именно поэтому игра признана ведущей деятельностью ребёнка - дошкольника.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 Игровая ситуация увлекает и воспитывает ребёнка, а встречающиеся в некоторых играх зачины, диалоги, непосредственно характеризуют </w:t>
      </w:r>
      <w:r w:rsidR="00F5768D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-1167765</wp:posOffset>
            </wp:positionH>
            <wp:positionV relativeFrom="paragraph">
              <wp:posOffset>-755650</wp:posOffset>
            </wp:positionV>
            <wp:extent cx="7734935" cy="10948670"/>
            <wp:effectExtent l="19050" t="0" r="0" b="0"/>
            <wp:wrapNone/>
            <wp:docPr id="1" name="Рисунок 15" descr="Фоны для ворда детские - 33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Фоны для ворда детские - 33 фот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094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персонажей и их действия, которые надо умело подчеркнуть в образе, что требует от детей активной умственной деятельности.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 xml:space="preserve"> В татарских народных играх много юмора, шуток, соревновательного задора; движения точны и образны, часто сопровождаются неожиданными весёлыми моментами, заманчивыми и любимыми детьми считалками, жеребьёвками,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потешками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>. Они сохраняют свою художественную прелесть, эстетическое значение и составляют ценнейший, неповторимый игровой фольклор.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 Типы татарских народных игр чрезвычайно многообразны.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Можно назвать такие: жребий и наказание, игры с игрушками, игры с движениями, прыгания, состязание в стойкости, игры с вращательными движениями, символические игры, игры с песнями и хороводами, игры с завязанными глазами, игры с верёвочкой, с метательными орудиями, игры с мячом, палками, игры с костями или камушками, домашние игры, зимние игры-забавы.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Среди татарских народных игр присутствуют игры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-драматизации, например: «</w:t>
      </w:r>
      <w:proofErr w:type="spellStart"/>
      <w:r w:rsidR="00D4379E">
        <w:rPr>
          <w:rFonts w:ascii="Times New Roman" w:hAnsi="Times New Roman" w:cs="Times New Roman"/>
          <w:color w:val="000000"/>
          <w:sz w:val="28"/>
          <w:szCs w:val="28"/>
        </w:rPr>
        <w:t>Убыр</w:t>
      </w:r>
      <w:proofErr w:type="spellEnd"/>
      <w:r w:rsidR="00D4379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би» ( Баба-яга), «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Шамакай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>»; игры с песнями и пляска</w:t>
      </w:r>
      <w:r w:rsidR="00F5768D">
        <w:rPr>
          <w:rFonts w:ascii="Times New Roman" w:hAnsi="Times New Roman" w:cs="Times New Roman"/>
          <w:color w:val="000000"/>
          <w:sz w:val="28"/>
          <w:szCs w:val="28"/>
        </w:rPr>
        <w:t>ми (хороводные) «Ми</w:t>
      </w:r>
      <w:r w:rsidR="00F5768D">
        <w:rPr>
          <w:rFonts w:ascii="Times New Roman" w:hAnsi="Times New Roman" w:cs="Times New Roman"/>
          <w:color w:val="000000"/>
          <w:sz w:val="28"/>
          <w:szCs w:val="28"/>
          <w:lang w:val="tt-RU"/>
        </w:rPr>
        <w:t>ң</w:t>
      </w:r>
      <w:proofErr w:type="spellStart"/>
      <w:r w:rsidR="00D4379E">
        <w:rPr>
          <w:rFonts w:ascii="Times New Roman" w:hAnsi="Times New Roman" w:cs="Times New Roman"/>
          <w:color w:val="000000"/>
          <w:sz w:val="28"/>
          <w:szCs w:val="28"/>
        </w:rPr>
        <w:t>лебай</w:t>
      </w:r>
      <w:proofErr w:type="spellEnd"/>
      <w:r w:rsidR="00D4379E">
        <w:rPr>
          <w:rFonts w:ascii="Times New Roman" w:hAnsi="Times New Roman" w:cs="Times New Roman"/>
          <w:color w:val="000000"/>
          <w:sz w:val="28"/>
          <w:szCs w:val="28"/>
        </w:rPr>
        <w:t>», « К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ү</w:t>
      </w:r>
      <w:proofErr w:type="spellStart"/>
      <w:r w:rsidR="00D4379E">
        <w:rPr>
          <w:rFonts w:ascii="Times New Roman" w:hAnsi="Times New Roman" w:cs="Times New Roman"/>
          <w:color w:val="000000"/>
          <w:sz w:val="28"/>
          <w:szCs w:val="28"/>
        </w:rPr>
        <w:t>рс</w:t>
      </w:r>
      <w:proofErr w:type="spellEnd"/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proofErr w:type="spellStart"/>
      <w:r w:rsidR="00D4379E">
        <w:rPr>
          <w:rFonts w:ascii="Times New Roman" w:hAnsi="Times New Roman" w:cs="Times New Roman"/>
          <w:color w:val="000000"/>
          <w:sz w:val="28"/>
          <w:szCs w:val="28"/>
        </w:rPr>
        <w:t>ле</w:t>
      </w:r>
      <w:proofErr w:type="spellEnd"/>
      <w:r w:rsidR="00D4379E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ү</w:t>
      </w:r>
      <w:proofErr w:type="spellStart"/>
      <w:r w:rsidR="00D4379E">
        <w:rPr>
          <w:rFonts w:ascii="Times New Roman" w:hAnsi="Times New Roman" w:cs="Times New Roman"/>
          <w:color w:val="000000"/>
          <w:sz w:val="28"/>
          <w:szCs w:val="28"/>
        </w:rPr>
        <w:t>ск</w:t>
      </w:r>
      <w:proofErr w:type="spellEnd"/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нем»; подвижные игры «Унике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="00F5768D">
        <w:rPr>
          <w:rFonts w:ascii="Times New Roman" w:hAnsi="Times New Roman" w:cs="Times New Roman"/>
          <w:color w:val="000000"/>
          <w:sz w:val="28"/>
          <w:szCs w:val="28"/>
        </w:rPr>
        <w:t>яклы</w:t>
      </w:r>
      <w:proofErr w:type="spellEnd"/>
      <w:r w:rsidR="00F5768D">
        <w:rPr>
          <w:rFonts w:ascii="Times New Roman" w:hAnsi="Times New Roman" w:cs="Times New Roman"/>
          <w:color w:val="000000"/>
          <w:sz w:val="28"/>
          <w:szCs w:val="28"/>
        </w:rPr>
        <w:t>» (Две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надцать палочек)</w:t>
      </w:r>
      <w:proofErr w:type="gramStart"/>
      <w:r w:rsidR="00D4379E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="00D4379E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к», «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Качышлы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F5768D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(Догонялки) и другие.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Игра «Молчанка» присутствует у всех почти народов, так и у татар, есть игра «Кап, та коп». Тому, кто не выдержит и засмеётся, назначают фант и предлагают исполнить танец или песню.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 Игра «Уголки» - « Д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ү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рт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почмак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». Водящий старается занять свободный уголок, пока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играющие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перебегают.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Прежде, чем вводить в занятие сюжетную народную игру необходимо детям рассказать о жизни народа, показать иллюстрации, предметы быта и искусства, заинтересовать национальными обычаями, фольклором. Или образно, но кратко рассказать о сюжете игры, пояснить роль водящего.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У татар, помимо традиционных детских забав-игр в «прятки», «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ловилки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>», «снежки» существуют игры, издавна связанные с народными праздниками, обрядами, сочетающие в себе спортивные соревнования и театрализованное действо. Самым любимым праздником является Сабантуй, что с перевода с татарского означает «праздник плуга». Сабантуй – это массовое гуляние, и конечно, народные игры: бег с яйцом в ложке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битьё горшков,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перетягивание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каната, бег в мешках, скачки на лошадях, бег с коромыслом, бои на бревне – имеют ярко выраженный развлекательный характер.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Любимыми играми у татарского народа являются подвижные игры. Они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широко доступны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людям самого разного возраста.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 xml:space="preserve"> 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Включение в занятие преимущественно народных подвижных игр, физических упражнений и проведение занятий на их основе  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показали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прежде всего активизацию отношений детей к занятиям по физической культуре, более быстрое овладение двигательными навыками, улучшение дисциплины, повышение интереса к занятиям по обучению татарскому языку, способствовали быстрому запоминанию татарских слов и </w:t>
      </w:r>
      <w:r w:rsidR="00F5768D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-1167963</wp:posOffset>
            </wp:positionH>
            <wp:positionV relativeFrom="paragraph">
              <wp:posOffset>-850719</wp:posOffset>
            </wp:positionV>
            <wp:extent cx="7735537" cy="10949050"/>
            <wp:effectExtent l="19050" t="0" r="0" b="0"/>
            <wp:wrapNone/>
            <wp:docPr id="2" name="Рисунок 15" descr="Фоны для ворда детские - 33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Фоны для ворда детские - 33 фот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5537" cy="1094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обогащению пассивного и активного словаря.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Известная игра «Продаём горшки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» («Ч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ү</w:t>
      </w:r>
      <w:r w:rsidR="00D4379E">
        <w:rPr>
          <w:rFonts w:ascii="Times New Roman" w:hAnsi="Times New Roman" w:cs="Times New Roman"/>
          <w:color w:val="000000"/>
          <w:sz w:val="28"/>
          <w:szCs w:val="28"/>
        </w:rPr>
        <w:t>лм</w:t>
      </w:r>
      <w:r w:rsidR="00D4379E"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к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сату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>уены</w:t>
      </w:r>
      <w:proofErr w:type="spellEnd"/>
      <w:r w:rsidRPr="00BC2AFB">
        <w:rPr>
          <w:rFonts w:ascii="Times New Roman" w:hAnsi="Times New Roman" w:cs="Times New Roman"/>
          <w:color w:val="000000"/>
          <w:sz w:val="28"/>
          <w:szCs w:val="28"/>
        </w:rPr>
        <w:t>»).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C2AFB">
        <w:rPr>
          <w:rFonts w:ascii="Times New Roman" w:hAnsi="Times New Roman" w:cs="Times New Roman"/>
          <w:i/>
          <w:color w:val="000000"/>
          <w:sz w:val="28"/>
          <w:szCs w:val="28"/>
        </w:rPr>
        <w:t>Цель игры: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 развитие ловкости, быстроты двигательной реакции, укрепление мышц опорно-двигательного аппарата.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C2AFB">
        <w:rPr>
          <w:rFonts w:ascii="Times New Roman" w:hAnsi="Times New Roman" w:cs="Times New Roman"/>
          <w:i/>
          <w:color w:val="000000"/>
          <w:sz w:val="28"/>
          <w:szCs w:val="28"/>
        </w:rPr>
        <w:t>Ход игры:</w:t>
      </w:r>
      <w:r w:rsidRPr="00BC2AFB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Играющие разделяются на две группы: дети-горшки и игроки-хозяева горшков.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Дети горшки образуют круг, встав на колени или усевшись на траву. За каждым горшком стоит игрок-хозяин горшка, руки у него за спиной.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Водящий стоит за кругом. Затем он подходит к одному из хозяев горшка и начинает разговор: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- Эй, дружок, продай горшок!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-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>Покупай!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-Сколько дать тебе рублей?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-Три отдай.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(Водящий три раза (по цене) касается рукой хозяина, и они начинают бег по кругу навстречу друг другу </w:t>
      </w:r>
      <w:proofErr w:type="gramStart"/>
      <w:r w:rsidRPr="00BC2AFB"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BC2AFB">
        <w:rPr>
          <w:rFonts w:ascii="Times New Roman" w:hAnsi="Times New Roman" w:cs="Times New Roman"/>
          <w:color w:val="000000"/>
          <w:sz w:val="28"/>
          <w:szCs w:val="28"/>
        </w:rPr>
        <w:t>круг обегают 3 раза). Кто быстрее добежит до свободного места в кругу, тот занимает это место, а оставшийся становится водящим.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C2AFB">
        <w:rPr>
          <w:rFonts w:ascii="Times New Roman" w:hAnsi="Times New Roman" w:cs="Times New Roman"/>
          <w:i/>
          <w:color w:val="000000"/>
          <w:sz w:val="28"/>
          <w:szCs w:val="28"/>
        </w:rPr>
        <w:t>Правила игры: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бегать разрешается только по кругу, не пересекая его;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бегущие не имеют права задевать других игроков;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водящий может начинать бег в любом направлении. Если он начал бег влево, то запятнанный должен бежать вправо.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t>Впечатления детства образуют фундамент для развития его нравственных чувств, сознания и дальнейшего проявления их в общественно полезной и творческой деятельности, а также формируют гармонически развитую, активную личность.</w:t>
      </w:r>
      <w:r w:rsidRPr="00BC2AFB">
        <w:rPr>
          <w:rFonts w:ascii="Times New Roman" w:hAnsi="Times New Roman" w:cs="Times New Roman"/>
          <w:color w:val="000000"/>
          <w:sz w:val="28"/>
          <w:szCs w:val="28"/>
        </w:rPr>
        <w:br/>
        <w:t>                               </w:t>
      </w:r>
    </w:p>
    <w:sectPr w:rsidR="008817E3" w:rsidRPr="00BC2AFB" w:rsidSect="008817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C2AFB"/>
    <w:rsid w:val="004F3BD9"/>
    <w:rsid w:val="007B5537"/>
    <w:rsid w:val="008817E3"/>
    <w:rsid w:val="00A943DF"/>
    <w:rsid w:val="00BC2AFB"/>
    <w:rsid w:val="00D4379E"/>
    <w:rsid w:val="00F57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7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988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2018-12-17T12:25:00Z</dcterms:created>
  <dcterms:modified xsi:type="dcterms:W3CDTF">2023-05-10T09:42:00Z</dcterms:modified>
</cp:coreProperties>
</file>